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DEFD" w14:textId="1FBAC2C1" w:rsidR="000B0AB6" w:rsidRDefault="00E95856" w:rsidP="000B0AB6">
      <w:pPr>
        <w:jc w:val="center"/>
        <w:rPr>
          <w:rFonts w:ascii="Cambria" w:hAnsi="Cambria"/>
          <w:color w:val="000000" w:themeColor="text1"/>
          <w:sz w:val="40"/>
          <w:szCs w:val="40"/>
        </w:rPr>
      </w:pPr>
      <w:r>
        <w:rPr>
          <w:rFonts w:ascii="Cambria" w:hAnsi="Cambria"/>
          <w:color w:val="000000" w:themeColor="text1"/>
          <w:sz w:val="40"/>
          <w:szCs w:val="40"/>
        </w:rPr>
        <w:t>Food Hubs</w:t>
      </w:r>
    </w:p>
    <w:p w14:paraId="4C9D5AA7" w14:textId="312083B7" w:rsidR="000B0AB6" w:rsidRDefault="00E95856" w:rsidP="000B0AB6">
      <w:pPr>
        <w:jc w:val="center"/>
        <w:rPr>
          <w:rFonts w:ascii="Cambria" w:hAnsi="Cambria"/>
          <w:color w:val="000000" w:themeColor="text1"/>
          <w:sz w:val="32"/>
          <w:szCs w:val="32"/>
        </w:rPr>
      </w:pPr>
      <w:r>
        <w:rPr>
          <w:rFonts w:ascii="Cambria" w:hAnsi="Cambria"/>
          <w:color w:val="000000" w:themeColor="text1"/>
          <w:sz w:val="32"/>
          <w:szCs w:val="32"/>
        </w:rPr>
        <w:t>In the Northwest Territories</w:t>
      </w:r>
    </w:p>
    <w:p w14:paraId="56BA533B" w14:textId="77777777" w:rsidR="000B0AB6" w:rsidRDefault="000B0AB6" w:rsidP="000B0AB6">
      <w:pPr>
        <w:rPr>
          <w:rFonts w:ascii="Cambria" w:hAnsi="Cambria"/>
          <w:color w:val="000000" w:themeColor="text1"/>
          <w:sz w:val="32"/>
          <w:szCs w:val="32"/>
        </w:rPr>
      </w:pPr>
    </w:p>
    <w:p w14:paraId="1544E31E" w14:textId="6D4AF1A3" w:rsidR="000B0AB6" w:rsidRDefault="00E95856" w:rsidP="000B0AB6">
      <w:r>
        <w:t>Food hubs connect those who grow, harvest, and process food directly with people. While food hubs can look different, they make a significant impact on food system sustainability and resilience in the North.</w:t>
      </w:r>
    </w:p>
    <w:p w14:paraId="75F8DE76" w14:textId="77777777" w:rsidR="00E95856" w:rsidRDefault="00E95856" w:rsidP="000B0AB6">
      <w:pPr>
        <w:rPr>
          <w:sz w:val="28"/>
          <w:szCs w:val="28"/>
        </w:rPr>
      </w:pPr>
    </w:p>
    <w:p w14:paraId="6817C931" w14:textId="63A42D76" w:rsidR="000B0AB6" w:rsidRDefault="00E95856" w:rsidP="000B0AB6">
      <w:pPr>
        <w:rPr>
          <w:sz w:val="28"/>
          <w:szCs w:val="28"/>
        </w:rPr>
      </w:pPr>
      <w:r>
        <w:rPr>
          <w:sz w:val="28"/>
          <w:szCs w:val="28"/>
        </w:rPr>
        <w:t>What are Food Hubs?</w:t>
      </w:r>
    </w:p>
    <w:p w14:paraId="4069EBCE" w14:textId="0652A598" w:rsidR="000B0AB6" w:rsidRDefault="00E95856" w:rsidP="000B0AB6">
      <w:r>
        <w:t>Food hubs are connectors between people who grow and harvest food and families who consume it within a local or regional food system. They can be the physical places that support the local food ecosystem by providing centralized spaces for sharing and trading. They can also exist as online spaces that help to connect and coordinate movement of foods around the community or region.</w:t>
      </w:r>
    </w:p>
    <w:p w14:paraId="27867CB1" w14:textId="5AD86E0C" w:rsidR="00E95856" w:rsidRDefault="00E95856" w:rsidP="000B0AB6">
      <w:r>
        <w:t xml:space="preserve">Food hubs can fill many roles such as human resources, marketing and logistical supports needed to facilitate food sharing and local commerce and physical infrastructure needed to produce, harvest, </w:t>
      </w:r>
      <w:proofErr w:type="gramStart"/>
      <w:r>
        <w:t>process</w:t>
      </w:r>
      <w:proofErr w:type="gramEnd"/>
      <w:r>
        <w:t xml:space="preserve"> and package local foods. The services and infrastructure food hubs have, depend on the </w:t>
      </w:r>
      <w:proofErr w:type="gramStart"/>
      <w:r>
        <w:t>vision</w:t>
      </w:r>
      <w:proofErr w:type="gramEnd"/>
      <w:r>
        <w:t xml:space="preserve"> and needs of each individual hub.</w:t>
      </w:r>
    </w:p>
    <w:p w14:paraId="02560582" w14:textId="77777777" w:rsidR="00E95856" w:rsidRDefault="00E95856" w:rsidP="000B0AB6"/>
    <w:p w14:paraId="1459DE7E" w14:textId="110A6712" w:rsidR="000B0AB6" w:rsidRDefault="00E95856" w:rsidP="000B0AB6">
      <w:pPr>
        <w:rPr>
          <w:sz w:val="28"/>
          <w:szCs w:val="28"/>
        </w:rPr>
      </w:pPr>
      <w:r>
        <w:rPr>
          <w:sz w:val="28"/>
          <w:szCs w:val="28"/>
        </w:rPr>
        <w:t>What do Food Hubs Look Like?</w:t>
      </w:r>
    </w:p>
    <w:p w14:paraId="09BD0651" w14:textId="77777777" w:rsidR="00E95856" w:rsidRPr="00E95856" w:rsidRDefault="00E95856" w:rsidP="00E95856">
      <w:pPr>
        <w:pStyle w:val="ListParagraph"/>
        <w:numPr>
          <w:ilvl w:val="0"/>
          <w:numId w:val="4"/>
        </w:numPr>
        <w:rPr>
          <w:sz w:val="28"/>
          <w:szCs w:val="28"/>
        </w:rPr>
      </w:pPr>
      <w:r>
        <w:t xml:space="preserve">Commercial kitchens </w:t>
      </w:r>
    </w:p>
    <w:p w14:paraId="4E94B1D1" w14:textId="77777777" w:rsidR="00E95856" w:rsidRPr="00E95856" w:rsidRDefault="00E95856" w:rsidP="00E95856">
      <w:pPr>
        <w:pStyle w:val="ListParagraph"/>
        <w:numPr>
          <w:ilvl w:val="0"/>
          <w:numId w:val="4"/>
        </w:numPr>
        <w:rPr>
          <w:sz w:val="28"/>
          <w:szCs w:val="28"/>
        </w:rPr>
      </w:pPr>
      <w:r>
        <w:t xml:space="preserve">Cold storage facilities </w:t>
      </w:r>
    </w:p>
    <w:p w14:paraId="0FE455D0" w14:textId="77777777" w:rsidR="00E95856" w:rsidRPr="00E95856" w:rsidRDefault="00E95856" w:rsidP="00E95856">
      <w:pPr>
        <w:pStyle w:val="ListParagraph"/>
        <w:numPr>
          <w:ilvl w:val="0"/>
          <w:numId w:val="4"/>
        </w:numPr>
        <w:rPr>
          <w:sz w:val="28"/>
          <w:szCs w:val="28"/>
        </w:rPr>
      </w:pPr>
      <w:r>
        <w:t xml:space="preserve">Stores Central market </w:t>
      </w:r>
      <w:proofErr w:type="gramStart"/>
      <w:r>
        <w:t>areas</w:t>
      </w:r>
      <w:proofErr w:type="gramEnd"/>
      <w:r>
        <w:t xml:space="preserve"> </w:t>
      </w:r>
    </w:p>
    <w:p w14:paraId="73936326" w14:textId="77777777" w:rsidR="00E95856" w:rsidRPr="00E95856" w:rsidRDefault="00E95856" w:rsidP="00E95856">
      <w:pPr>
        <w:pStyle w:val="ListParagraph"/>
        <w:numPr>
          <w:ilvl w:val="0"/>
          <w:numId w:val="4"/>
        </w:numPr>
        <w:rPr>
          <w:sz w:val="28"/>
          <w:szCs w:val="28"/>
        </w:rPr>
      </w:pPr>
      <w:r>
        <w:t xml:space="preserve">Washing and grading facilities </w:t>
      </w:r>
    </w:p>
    <w:p w14:paraId="21FF8FE4" w14:textId="77777777" w:rsidR="00E95856" w:rsidRPr="00E95856" w:rsidRDefault="00E95856" w:rsidP="00E95856">
      <w:pPr>
        <w:pStyle w:val="ListParagraph"/>
        <w:numPr>
          <w:ilvl w:val="0"/>
          <w:numId w:val="4"/>
        </w:numPr>
        <w:rPr>
          <w:sz w:val="28"/>
          <w:szCs w:val="28"/>
        </w:rPr>
      </w:pPr>
      <w:r>
        <w:t xml:space="preserve">Shared farm equipment/tool sheds </w:t>
      </w:r>
    </w:p>
    <w:p w14:paraId="02164EF0" w14:textId="77777777" w:rsidR="00E95856" w:rsidRPr="00E95856" w:rsidRDefault="00E95856" w:rsidP="00E95856">
      <w:pPr>
        <w:pStyle w:val="ListParagraph"/>
        <w:numPr>
          <w:ilvl w:val="0"/>
          <w:numId w:val="4"/>
        </w:numPr>
        <w:rPr>
          <w:sz w:val="28"/>
          <w:szCs w:val="28"/>
        </w:rPr>
      </w:pPr>
      <w:r>
        <w:t xml:space="preserve">Online buy/sell </w:t>
      </w:r>
      <w:proofErr w:type="gramStart"/>
      <w:r>
        <w:t>platforms</w:t>
      </w:r>
      <w:proofErr w:type="gramEnd"/>
      <w:r>
        <w:t xml:space="preserve"> </w:t>
      </w:r>
    </w:p>
    <w:p w14:paraId="0428F46A" w14:textId="77777777" w:rsidR="00E95856" w:rsidRPr="00E95856" w:rsidRDefault="00E95856" w:rsidP="00E95856">
      <w:pPr>
        <w:pStyle w:val="ListParagraph"/>
        <w:numPr>
          <w:ilvl w:val="0"/>
          <w:numId w:val="4"/>
        </w:numPr>
        <w:rPr>
          <w:sz w:val="28"/>
          <w:szCs w:val="28"/>
        </w:rPr>
      </w:pPr>
      <w:r>
        <w:t xml:space="preserve">Food innovation labs </w:t>
      </w:r>
    </w:p>
    <w:p w14:paraId="41AD4B4F" w14:textId="77777777" w:rsidR="00E95856" w:rsidRPr="00E95856" w:rsidRDefault="00E95856" w:rsidP="00E95856">
      <w:pPr>
        <w:pStyle w:val="ListParagraph"/>
        <w:numPr>
          <w:ilvl w:val="0"/>
          <w:numId w:val="4"/>
        </w:numPr>
        <w:rPr>
          <w:sz w:val="28"/>
          <w:szCs w:val="28"/>
        </w:rPr>
      </w:pPr>
      <w:r>
        <w:t xml:space="preserve">Delivery vehicles </w:t>
      </w:r>
    </w:p>
    <w:p w14:paraId="15771DFC" w14:textId="77777777" w:rsidR="00E95856" w:rsidRPr="00E95856" w:rsidRDefault="00E95856" w:rsidP="00E95856">
      <w:pPr>
        <w:pStyle w:val="ListParagraph"/>
        <w:numPr>
          <w:ilvl w:val="0"/>
          <w:numId w:val="4"/>
        </w:numPr>
        <w:rPr>
          <w:sz w:val="28"/>
          <w:szCs w:val="28"/>
        </w:rPr>
      </w:pPr>
      <w:r>
        <w:t xml:space="preserve">Composting facilities </w:t>
      </w:r>
    </w:p>
    <w:p w14:paraId="767FB21A" w14:textId="302EFB9A" w:rsidR="000B0AB6" w:rsidRPr="00E95856" w:rsidRDefault="00E95856" w:rsidP="00E95856">
      <w:pPr>
        <w:pStyle w:val="ListParagraph"/>
        <w:numPr>
          <w:ilvl w:val="0"/>
          <w:numId w:val="4"/>
        </w:numPr>
        <w:rPr>
          <w:sz w:val="28"/>
          <w:szCs w:val="28"/>
        </w:rPr>
      </w:pPr>
      <w:r>
        <w:t>Packaging and labelling equipment</w:t>
      </w:r>
    </w:p>
    <w:p w14:paraId="6BF829F0" w14:textId="77777777" w:rsidR="00E95856" w:rsidRPr="00E95856" w:rsidRDefault="00E95856" w:rsidP="00E95856">
      <w:pPr>
        <w:rPr>
          <w:sz w:val="28"/>
          <w:szCs w:val="28"/>
        </w:rPr>
      </w:pPr>
    </w:p>
    <w:p w14:paraId="67CDCE6A" w14:textId="67A485C6" w:rsidR="006A0314" w:rsidRDefault="00E95856" w:rsidP="000B0AB6">
      <w:pPr>
        <w:rPr>
          <w:sz w:val="28"/>
          <w:szCs w:val="28"/>
        </w:rPr>
      </w:pPr>
      <w:r>
        <w:rPr>
          <w:sz w:val="28"/>
          <w:szCs w:val="28"/>
        </w:rPr>
        <w:t xml:space="preserve">Examples of Food Hub Research Projects </w:t>
      </w:r>
    </w:p>
    <w:p w14:paraId="4647E4B0" w14:textId="77777777" w:rsidR="00E95856" w:rsidRPr="00E95856" w:rsidRDefault="00E95856" w:rsidP="000B0AB6">
      <w:pPr>
        <w:rPr>
          <w:b/>
          <w:bCs/>
        </w:rPr>
      </w:pPr>
      <w:r w:rsidRPr="00E95856">
        <w:rPr>
          <w:b/>
          <w:bCs/>
        </w:rPr>
        <w:t xml:space="preserve">Yellowknife food hub </w:t>
      </w:r>
    </w:p>
    <w:p w14:paraId="23B56C36" w14:textId="3CACA522" w:rsidR="000B0AB6" w:rsidRDefault="00E95856" w:rsidP="000B0AB6">
      <w:r>
        <w:t xml:space="preserve">Building on the 2019 Yellowknife Food and Agriculture Strategy, the City of </w:t>
      </w:r>
      <w:proofErr w:type="gramStart"/>
      <w:r>
        <w:t>Yellowknife</w:t>
      </w:r>
      <w:proofErr w:type="gramEnd"/>
      <w:r>
        <w:t xml:space="preserve"> and researchers at Wilfrid Laurier University (Andrew Spring &amp; Jennifer </w:t>
      </w:r>
      <w:proofErr w:type="spellStart"/>
      <w:r>
        <w:t>Temmer</w:t>
      </w:r>
      <w:proofErr w:type="spellEnd"/>
      <w:r>
        <w:t>) partnered on the research project "Identifying Opportunities and Barriers for Local Food Infrastructure in Yellowknife, NT". This research engaged community members in the co-creation of a food hub model that meets local needs and aspirations to support and grow Yellowknife’s local food economy.</w:t>
      </w:r>
    </w:p>
    <w:p w14:paraId="608ED1FD" w14:textId="77777777" w:rsidR="00E95856" w:rsidRDefault="00E95856" w:rsidP="000B0AB6"/>
    <w:p w14:paraId="35B93EE3" w14:textId="77777777" w:rsidR="00E95856" w:rsidRDefault="00E95856" w:rsidP="000B0AB6"/>
    <w:p w14:paraId="22B55CBC" w14:textId="77777777" w:rsidR="00E95856" w:rsidRDefault="00E95856" w:rsidP="000B0AB6">
      <w:pPr>
        <w:rPr>
          <w:sz w:val="28"/>
          <w:szCs w:val="28"/>
        </w:rPr>
      </w:pPr>
    </w:p>
    <w:p w14:paraId="17B60AB1" w14:textId="77777777" w:rsidR="00E95856" w:rsidRPr="00E95856" w:rsidRDefault="00E95856" w:rsidP="000B0AB6">
      <w:pPr>
        <w:rPr>
          <w:b/>
          <w:bCs/>
        </w:rPr>
      </w:pPr>
      <w:proofErr w:type="spellStart"/>
      <w:r w:rsidRPr="00E95856">
        <w:rPr>
          <w:b/>
          <w:bCs/>
        </w:rPr>
        <w:t>Kakisa</w:t>
      </w:r>
      <w:proofErr w:type="spellEnd"/>
      <w:r w:rsidRPr="00E95856">
        <w:rPr>
          <w:b/>
          <w:bCs/>
        </w:rPr>
        <w:t xml:space="preserve"> community greenhouse </w:t>
      </w:r>
    </w:p>
    <w:p w14:paraId="7B31241E" w14:textId="0233C916" w:rsidR="006A0314" w:rsidRDefault="00E95856" w:rsidP="000B0AB6">
      <w:r>
        <w:t xml:space="preserve">In 2021, the </w:t>
      </w:r>
      <w:proofErr w:type="spellStart"/>
      <w:r>
        <w:t>Kakisa</w:t>
      </w:r>
      <w:proofErr w:type="spellEnd"/>
      <w:r>
        <w:t xml:space="preserve"> community greenhouse started a vegetable box delivery program. For five weeks, every household in </w:t>
      </w:r>
      <w:proofErr w:type="spellStart"/>
      <w:r>
        <w:t>Kakisa</w:t>
      </w:r>
      <w:proofErr w:type="spellEnd"/>
      <w:r>
        <w:t xml:space="preserve"> received a box with garden vegetables harvested the same day. The boxes included a traditional food such as berries or dry fish and weekly newsletter to share garden updates and recipes. For </w:t>
      </w:r>
      <w:proofErr w:type="spellStart"/>
      <w:r>
        <w:t>Kakisa</w:t>
      </w:r>
      <w:proofErr w:type="spellEnd"/>
      <w:r>
        <w:t>, the greenhouse and food boxes are the first steps toward a food hub that will include a community store that buys, shares and trades food and handicrafts produced and harvested in the community for the community.</w:t>
      </w:r>
    </w:p>
    <w:p w14:paraId="20E7CEC3" w14:textId="77777777" w:rsidR="006A0314" w:rsidRDefault="006A0314" w:rsidP="000B0AB6"/>
    <w:p w14:paraId="70423208" w14:textId="4E2B82DB" w:rsidR="006A0314" w:rsidRDefault="006A0314" w:rsidP="000B0AB6">
      <w:pPr>
        <w:rPr>
          <w:sz w:val="28"/>
          <w:szCs w:val="28"/>
        </w:rPr>
      </w:pPr>
      <w:r>
        <w:rPr>
          <w:sz w:val="28"/>
          <w:szCs w:val="28"/>
        </w:rPr>
        <w:t>Interested in Learning More?</w:t>
      </w:r>
    </w:p>
    <w:p w14:paraId="6AE1D024" w14:textId="010C7713" w:rsidR="006A0314" w:rsidRPr="006A0314" w:rsidRDefault="006A0314" w:rsidP="000B0AB6">
      <w:r>
        <w:t xml:space="preserve">Please email Andrew Spring </w:t>
      </w:r>
      <w:hyperlink r:id="rId5" w:history="1">
        <w:r w:rsidRPr="00915F0D">
          <w:rPr>
            <w:rStyle w:val="Hyperlink"/>
          </w:rPr>
          <w:t>aspring@wlu.ca</w:t>
        </w:r>
      </w:hyperlink>
      <w:r>
        <w:t xml:space="preserve"> </w:t>
      </w:r>
    </w:p>
    <w:p w14:paraId="3D4FA1B6" w14:textId="77777777" w:rsidR="006A0314" w:rsidRPr="006A0314" w:rsidRDefault="006A0314" w:rsidP="000B0AB6">
      <w:pPr>
        <w:rPr>
          <w:sz w:val="28"/>
          <w:szCs w:val="28"/>
        </w:rPr>
      </w:pPr>
    </w:p>
    <w:p w14:paraId="4EE642A2" w14:textId="77777777" w:rsidR="000B0AB6" w:rsidRPr="000B0AB6" w:rsidRDefault="000B0AB6" w:rsidP="000B0AB6"/>
    <w:p w14:paraId="17946CB4" w14:textId="77777777" w:rsidR="000B0AB6" w:rsidRPr="000B0AB6" w:rsidRDefault="000B0AB6" w:rsidP="000B0AB6">
      <w:pPr>
        <w:rPr>
          <w:sz w:val="28"/>
          <w:szCs w:val="28"/>
        </w:rPr>
      </w:pPr>
    </w:p>
    <w:sectPr w:rsidR="000B0AB6" w:rsidRPr="000B0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72F2"/>
    <w:multiLevelType w:val="hybridMultilevel"/>
    <w:tmpl w:val="F4F2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402E5"/>
    <w:multiLevelType w:val="hybridMultilevel"/>
    <w:tmpl w:val="501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E5D07"/>
    <w:multiLevelType w:val="hybridMultilevel"/>
    <w:tmpl w:val="554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B5D52"/>
    <w:multiLevelType w:val="hybridMultilevel"/>
    <w:tmpl w:val="984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2292">
    <w:abstractNumId w:val="2"/>
  </w:num>
  <w:num w:numId="2" w16cid:durableId="1744373944">
    <w:abstractNumId w:val="1"/>
  </w:num>
  <w:num w:numId="3" w16cid:durableId="529878919">
    <w:abstractNumId w:val="3"/>
  </w:num>
  <w:num w:numId="4" w16cid:durableId="7971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6"/>
    <w:rsid w:val="000B0AB6"/>
    <w:rsid w:val="00533DFC"/>
    <w:rsid w:val="006A0314"/>
    <w:rsid w:val="00E958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B457D7"/>
  <w15:chartTrackingRefBased/>
  <w15:docId w15:val="{A1C6B845-D2A0-204A-86E6-82F405E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B6"/>
    <w:pPr>
      <w:ind w:left="720"/>
      <w:contextualSpacing/>
    </w:pPr>
  </w:style>
  <w:style w:type="character" w:styleId="Hyperlink">
    <w:name w:val="Hyperlink"/>
    <w:basedOn w:val="DefaultParagraphFont"/>
    <w:uiPriority w:val="99"/>
    <w:unhideWhenUsed/>
    <w:rsid w:val="006A0314"/>
    <w:rPr>
      <w:color w:val="0563C1" w:themeColor="hyperlink"/>
      <w:u w:val="single"/>
    </w:rPr>
  </w:style>
  <w:style w:type="character" w:styleId="UnresolvedMention">
    <w:name w:val="Unresolved Mention"/>
    <w:basedOn w:val="DefaultParagraphFont"/>
    <w:uiPriority w:val="99"/>
    <w:semiHidden/>
    <w:unhideWhenUsed/>
    <w:rsid w:val="006A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2</cp:revision>
  <dcterms:created xsi:type="dcterms:W3CDTF">2023-04-14T15:14:00Z</dcterms:created>
  <dcterms:modified xsi:type="dcterms:W3CDTF">2023-04-14T15:14:00Z</dcterms:modified>
</cp:coreProperties>
</file>